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725" w:rsidRPr="00D173B4" w:rsidRDefault="00BA4725" w:rsidP="00BA4725">
      <w:pPr>
        <w:pStyle w:val="BodyText2"/>
        <w:shd w:val="clear" w:color="auto" w:fill="1F497D" w:themeFill="text2"/>
        <w:spacing w:after="0" w:line="240" w:lineRule="auto"/>
        <w:jc w:val="center"/>
        <w:rPr>
          <w:rFonts w:cstheme="minorHAnsi"/>
          <w:color w:val="FFFFFF" w:themeColor="background1"/>
          <w:sz w:val="28"/>
          <w:szCs w:val="28"/>
        </w:rPr>
      </w:pPr>
      <w:r w:rsidRPr="00D173B4">
        <w:rPr>
          <w:rFonts w:cstheme="minorHAnsi"/>
          <w:b/>
          <w:color w:val="FFFFFF" w:themeColor="background1"/>
          <w:sz w:val="28"/>
          <w:szCs w:val="28"/>
        </w:rPr>
        <w:t>CHAPTER</w:t>
      </w:r>
      <w:proofErr w:type="gramStart"/>
      <w:r w:rsidRPr="00D173B4">
        <w:rPr>
          <w:rFonts w:cstheme="minorHAnsi"/>
          <w:b/>
          <w:color w:val="FFFFFF" w:themeColor="background1"/>
          <w:sz w:val="28"/>
          <w:szCs w:val="28"/>
        </w:rPr>
        <w:t>-  6</w:t>
      </w:r>
      <w:proofErr w:type="gramEnd"/>
      <w:r w:rsidRPr="00D173B4">
        <w:rPr>
          <w:rFonts w:cstheme="minorHAnsi"/>
          <w:b/>
          <w:color w:val="FFFFFF" w:themeColor="background1"/>
          <w:sz w:val="28"/>
          <w:szCs w:val="28"/>
        </w:rPr>
        <w:t xml:space="preserve"> : SUMMARY OF TRUE-UP AND PRAYER</w:t>
      </w:r>
    </w:p>
    <w:p w:rsidR="00BA4725" w:rsidRDefault="00BA4725" w:rsidP="00BA4725">
      <w:pPr>
        <w:pStyle w:val="BodyText2"/>
        <w:spacing w:after="0" w:line="240" w:lineRule="auto"/>
        <w:jc w:val="both"/>
        <w:rPr>
          <w:rFonts w:cstheme="minorHAnsi"/>
        </w:rPr>
      </w:pPr>
    </w:p>
    <w:p w:rsidR="00BA4725" w:rsidRPr="00CB705A" w:rsidRDefault="00BA4725" w:rsidP="00BA4725">
      <w:pPr>
        <w:pStyle w:val="BodyText2"/>
        <w:spacing w:after="0" w:line="240" w:lineRule="auto"/>
        <w:jc w:val="both"/>
        <w:rPr>
          <w:rFonts w:cstheme="minorHAnsi"/>
        </w:rPr>
      </w:pPr>
    </w:p>
    <w:p w:rsidR="00BA4725" w:rsidRDefault="00BA4725" w:rsidP="00BA4725">
      <w:pPr>
        <w:pStyle w:val="BodyText2"/>
        <w:spacing w:after="0" w:line="276" w:lineRule="auto"/>
        <w:jc w:val="both"/>
        <w:rPr>
          <w:rFonts w:cstheme="minorHAnsi"/>
        </w:rPr>
      </w:pPr>
      <w:r w:rsidRPr="00CB705A">
        <w:rPr>
          <w:rFonts w:cstheme="minorHAnsi"/>
        </w:rPr>
        <w:t>An item wise comparison of the ARR, ERC and Revenue gap as per ARR and the actual as per the truing up peti</w:t>
      </w:r>
      <w:r>
        <w:rPr>
          <w:rFonts w:cstheme="minorHAnsi"/>
        </w:rPr>
        <w:t>tions are given in the Table - 6</w:t>
      </w:r>
      <w:r w:rsidRPr="00CB705A">
        <w:rPr>
          <w:rFonts w:cstheme="minorHAnsi"/>
        </w:rPr>
        <w:t>.1 below.</w:t>
      </w:r>
    </w:p>
    <w:p w:rsidR="004A1154" w:rsidRDefault="004A1154" w:rsidP="00BA4725">
      <w:pPr>
        <w:pStyle w:val="BodyText2"/>
        <w:spacing w:after="0" w:line="276" w:lineRule="auto"/>
        <w:jc w:val="both"/>
        <w:rPr>
          <w:rFonts w:cstheme="minorHAnsi"/>
        </w:rPr>
      </w:pPr>
    </w:p>
    <w:tbl>
      <w:tblPr>
        <w:tblW w:w="8821" w:type="dxa"/>
        <w:tblInd w:w="103" w:type="dxa"/>
        <w:tblLook w:val="04A0"/>
      </w:tblPr>
      <w:tblGrid>
        <w:gridCol w:w="4586"/>
        <w:gridCol w:w="1034"/>
        <w:gridCol w:w="979"/>
        <w:gridCol w:w="979"/>
        <w:gridCol w:w="1321"/>
      </w:tblGrid>
      <w:tr w:rsidR="00DB4937" w:rsidRPr="00DB4937" w:rsidTr="00DB4937">
        <w:trPr>
          <w:trHeight w:val="300"/>
        </w:trPr>
        <w:tc>
          <w:tcPr>
            <w:tcW w:w="8821" w:type="dxa"/>
            <w:gridSpan w:val="5"/>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center"/>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Table - 6.1 : SUMMARY OF TRUE-UP FOR  FY 2018-19</w:t>
            </w:r>
          </w:p>
        </w:tc>
      </w:tr>
      <w:tr w:rsidR="00DB4937" w:rsidRPr="00DB4937" w:rsidTr="00DB4937">
        <w:trPr>
          <w:trHeight w:val="525"/>
        </w:trPr>
        <w:tc>
          <w:tcPr>
            <w:tcW w:w="4586" w:type="dxa"/>
            <w:tcBorders>
              <w:top w:val="nil"/>
              <w:left w:val="single" w:sz="4" w:space="0" w:color="auto"/>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center"/>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Particulars</w:t>
            </w:r>
          </w:p>
        </w:tc>
        <w:tc>
          <w:tcPr>
            <w:tcW w:w="1016"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center"/>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Approved</w:t>
            </w:r>
          </w:p>
        </w:tc>
        <w:tc>
          <w:tcPr>
            <w:tcW w:w="949"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center"/>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Actual</w:t>
            </w:r>
          </w:p>
        </w:tc>
        <w:tc>
          <w:tcPr>
            <w:tcW w:w="949"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center"/>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Trued up</w:t>
            </w:r>
          </w:p>
        </w:tc>
        <w:tc>
          <w:tcPr>
            <w:tcW w:w="1321" w:type="dxa"/>
            <w:tcBorders>
              <w:top w:val="nil"/>
              <w:left w:val="nil"/>
              <w:bottom w:val="single" w:sz="4" w:space="0" w:color="auto"/>
              <w:right w:val="single" w:sz="4" w:space="0" w:color="auto"/>
            </w:tcBorders>
            <w:shd w:val="clear" w:color="000000" w:fill="C6D9F1"/>
            <w:vAlign w:val="bottom"/>
            <w:hideMark/>
          </w:tcPr>
          <w:p w:rsidR="00DB4937" w:rsidRPr="00DB4937" w:rsidRDefault="00DB4937" w:rsidP="00DB4937">
            <w:pPr>
              <w:spacing w:after="0" w:line="240" w:lineRule="auto"/>
              <w:jc w:val="center"/>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Deviation from approval</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Generation Of Power</w:t>
            </w:r>
          </w:p>
        </w:tc>
        <w:tc>
          <w:tcPr>
            <w:tcW w:w="1016"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0.00</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3.29</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3.29</w:t>
            </w:r>
          </w:p>
        </w:tc>
        <w:tc>
          <w:tcPr>
            <w:tcW w:w="1321" w:type="dxa"/>
            <w:tcBorders>
              <w:top w:val="nil"/>
              <w:left w:val="nil"/>
              <w:bottom w:val="single" w:sz="4" w:space="0" w:color="auto"/>
              <w:right w:val="single" w:sz="4" w:space="0" w:color="auto"/>
            </w:tcBorders>
            <w:shd w:val="clear" w:color="auto" w:fill="auto"/>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-3.29</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Purchase of power</w:t>
            </w:r>
          </w:p>
        </w:tc>
        <w:tc>
          <w:tcPr>
            <w:tcW w:w="1016"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7850.77</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7869.32</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7826.86</w:t>
            </w:r>
          </w:p>
        </w:tc>
        <w:tc>
          <w:tcPr>
            <w:tcW w:w="1321" w:type="dxa"/>
            <w:tcBorders>
              <w:top w:val="nil"/>
              <w:left w:val="nil"/>
              <w:bottom w:val="single" w:sz="4" w:space="0" w:color="auto"/>
              <w:right w:val="single" w:sz="4" w:space="0" w:color="auto"/>
            </w:tcBorders>
            <w:shd w:val="clear" w:color="auto" w:fill="auto"/>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23.91</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Interest &amp; Finance Charges</w:t>
            </w:r>
          </w:p>
        </w:tc>
        <w:tc>
          <w:tcPr>
            <w:tcW w:w="1016"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1805.76</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1598.90</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0A5613" w:rsidP="00DB4937">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2117.13</w:t>
            </w:r>
          </w:p>
        </w:tc>
        <w:tc>
          <w:tcPr>
            <w:tcW w:w="1321" w:type="dxa"/>
            <w:tcBorders>
              <w:top w:val="nil"/>
              <w:left w:val="nil"/>
              <w:bottom w:val="single" w:sz="4" w:space="0" w:color="auto"/>
              <w:right w:val="single" w:sz="4" w:space="0" w:color="auto"/>
            </w:tcBorders>
            <w:shd w:val="clear" w:color="auto" w:fill="auto"/>
            <w:vAlign w:val="bottom"/>
            <w:hideMark/>
          </w:tcPr>
          <w:p w:rsidR="00DB4937" w:rsidRPr="00DB4937" w:rsidRDefault="00DB4937" w:rsidP="000A5613">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w:t>
            </w:r>
            <w:r w:rsidR="000A5613">
              <w:rPr>
                <w:rFonts w:ascii="Calibri" w:eastAsia="Times New Roman" w:hAnsi="Calibri" w:cs="Calibri"/>
                <w:color w:val="000000"/>
                <w:sz w:val="20"/>
                <w:szCs w:val="20"/>
              </w:rPr>
              <w:t>311.37</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Depreciation</w:t>
            </w:r>
          </w:p>
        </w:tc>
        <w:tc>
          <w:tcPr>
            <w:tcW w:w="1016"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348.84</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805.03</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0A5613">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40</w:t>
            </w:r>
            <w:r w:rsidR="000A5613">
              <w:rPr>
                <w:rFonts w:ascii="Calibri" w:eastAsia="Times New Roman" w:hAnsi="Calibri" w:cs="Calibri"/>
                <w:color w:val="000000"/>
                <w:sz w:val="20"/>
                <w:szCs w:val="20"/>
              </w:rPr>
              <w:t>4.47</w:t>
            </w:r>
          </w:p>
        </w:tc>
        <w:tc>
          <w:tcPr>
            <w:tcW w:w="1321" w:type="dxa"/>
            <w:tcBorders>
              <w:top w:val="nil"/>
              <w:left w:val="nil"/>
              <w:bottom w:val="single" w:sz="4" w:space="0" w:color="auto"/>
              <w:right w:val="single" w:sz="4" w:space="0" w:color="auto"/>
            </w:tcBorders>
            <w:shd w:val="clear" w:color="auto" w:fill="auto"/>
            <w:vAlign w:val="bottom"/>
            <w:hideMark/>
          </w:tcPr>
          <w:p w:rsidR="00DB4937" w:rsidRPr="00DB4937" w:rsidRDefault="00DB4937" w:rsidP="000A5613">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-5</w:t>
            </w:r>
            <w:r w:rsidR="000A5613">
              <w:rPr>
                <w:rFonts w:ascii="Calibri" w:eastAsia="Times New Roman" w:hAnsi="Calibri" w:cs="Calibri"/>
                <w:color w:val="000000"/>
                <w:sz w:val="20"/>
                <w:szCs w:val="20"/>
              </w:rPr>
              <w:t>5.63</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Employee Cost (excluding terminal benefits)</w:t>
            </w:r>
          </w:p>
        </w:tc>
        <w:tc>
          <w:tcPr>
            <w:tcW w:w="1016"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2713.46</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2892.01</w:t>
            </w:r>
          </w:p>
        </w:tc>
        <w:tc>
          <w:tcPr>
            <w:tcW w:w="949"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2898.27</w:t>
            </w:r>
          </w:p>
        </w:tc>
        <w:tc>
          <w:tcPr>
            <w:tcW w:w="1321" w:type="dxa"/>
            <w:vMerge w:val="restart"/>
            <w:tcBorders>
              <w:top w:val="nil"/>
              <w:left w:val="single" w:sz="4" w:space="0" w:color="auto"/>
              <w:bottom w:val="single" w:sz="4" w:space="0" w:color="auto"/>
              <w:right w:val="single" w:sz="4" w:space="0" w:color="auto"/>
            </w:tcBorders>
            <w:shd w:val="clear" w:color="auto" w:fill="auto"/>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-184.81</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Repair  &amp; Maintenance</w:t>
            </w:r>
          </w:p>
        </w:tc>
        <w:tc>
          <w:tcPr>
            <w:tcW w:w="1016" w:type="dxa"/>
            <w:vMerge/>
            <w:tcBorders>
              <w:top w:val="nil"/>
              <w:left w:val="single" w:sz="4" w:space="0" w:color="auto"/>
              <w:bottom w:val="single" w:sz="4" w:space="0" w:color="auto"/>
              <w:right w:val="single" w:sz="4" w:space="0" w:color="auto"/>
            </w:tcBorders>
            <w:vAlign w:val="center"/>
            <w:hideMark/>
          </w:tcPr>
          <w:p w:rsidR="00DB4937" w:rsidRPr="00DB4937" w:rsidRDefault="00DB4937" w:rsidP="00DB4937">
            <w:pPr>
              <w:spacing w:after="0" w:line="240" w:lineRule="auto"/>
              <w:rPr>
                <w:rFonts w:ascii="Calibri" w:eastAsia="Times New Roman" w:hAnsi="Calibri" w:cs="Calibri"/>
                <w:color w:val="000000"/>
                <w:sz w:val="20"/>
                <w:szCs w:val="20"/>
              </w:rPr>
            </w:pP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303.75</w:t>
            </w:r>
          </w:p>
        </w:tc>
        <w:tc>
          <w:tcPr>
            <w:tcW w:w="949" w:type="dxa"/>
            <w:vMerge/>
            <w:tcBorders>
              <w:top w:val="nil"/>
              <w:left w:val="single" w:sz="4" w:space="0" w:color="auto"/>
              <w:bottom w:val="single" w:sz="4" w:space="0" w:color="auto"/>
              <w:right w:val="single" w:sz="4" w:space="0" w:color="auto"/>
            </w:tcBorders>
            <w:vAlign w:val="center"/>
            <w:hideMark/>
          </w:tcPr>
          <w:p w:rsidR="00DB4937" w:rsidRPr="00DB4937" w:rsidRDefault="00DB4937" w:rsidP="00DB4937">
            <w:pPr>
              <w:spacing w:after="0" w:line="240" w:lineRule="auto"/>
              <w:rPr>
                <w:rFonts w:ascii="Calibri" w:eastAsia="Times New Roman" w:hAnsi="Calibri" w:cs="Calibri"/>
                <w:color w:val="000000"/>
                <w:sz w:val="20"/>
                <w:szCs w:val="20"/>
              </w:rPr>
            </w:pPr>
          </w:p>
        </w:tc>
        <w:tc>
          <w:tcPr>
            <w:tcW w:w="1321" w:type="dxa"/>
            <w:vMerge/>
            <w:tcBorders>
              <w:top w:val="nil"/>
              <w:left w:val="single" w:sz="4" w:space="0" w:color="auto"/>
              <w:bottom w:val="single" w:sz="4" w:space="0" w:color="auto"/>
              <w:right w:val="single" w:sz="4" w:space="0" w:color="auto"/>
            </w:tcBorders>
            <w:vAlign w:val="center"/>
            <w:hideMark/>
          </w:tcPr>
          <w:p w:rsidR="00DB4937" w:rsidRPr="00DB4937" w:rsidRDefault="00DB4937" w:rsidP="00DB4937">
            <w:pPr>
              <w:spacing w:after="0" w:line="240" w:lineRule="auto"/>
              <w:rPr>
                <w:rFonts w:ascii="Calibri" w:eastAsia="Times New Roman" w:hAnsi="Calibri" w:cs="Calibri"/>
                <w:color w:val="000000"/>
                <w:sz w:val="20"/>
                <w:szCs w:val="20"/>
              </w:rPr>
            </w:pP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Administration &amp; General Expenses</w:t>
            </w:r>
          </w:p>
        </w:tc>
        <w:tc>
          <w:tcPr>
            <w:tcW w:w="1016" w:type="dxa"/>
            <w:vMerge/>
            <w:tcBorders>
              <w:top w:val="nil"/>
              <w:left w:val="single" w:sz="4" w:space="0" w:color="auto"/>
              <w:bottom w:val="single" w:sz="4" w:space="0" w:color="auto"/>
              <w:right w:val="single" w:sz="4" w:space="0" w:color="auto"/>
            </w:tcBorders>
            <w:vAlign w:val="center"/>
            <w:hideMark/>
          </w:tcPr>
          <w:p w:rsidR="00DB4937" w:rsidRPr="00DB4937" w:rsidRDefault="00DB4937" w:rsidP="00DB4937">
            <w:pPr>
              <w:spacing w:after="0" w:line="240" w:lineRule="auto"/>
              <w:rPr>
                <w:rFonts w:ascii="Calibri" w:eastAsia="Times New Roman" w:hAnsi="Calibri" w:cs="Calibri"/>
                <w:color w:val="000000"/>
                <w:sz w:val="20"/>
                <w:szCs w:val="20"/>
              </w:rPr>
            </w:pP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598.16</w:t>
            </w:r>
          </w:p>
        </w:tc>
        <w:tc>
          <w:tcPr>
            <w:tcW w:w="949" w:type="dxa"/>
            <w:vMerge/>
            <w:tcBorders>
              <w:top w:val="nil"/>
              <w:left w:val="single" w:sz="4" w:space="0" w:color="auto"/>
              <w:bottom w:val="single" w:sz="4" w:space="0" w:color="auto"/>
              <w:right w:val="single" w:sz="4" w:space="0" w:color="auto"/>
            </w:tcBorders>
            <w:vAlign w:val="center"/>
            <w:hideMark/>
          </w:tcPr>
          <w:p w:rsidR="00DB4937" w:rsidRPr="00DB4937" w:rsidRDefault="00DB4937" w:rsidP="00DB4937">
            <w:pPr>
              <w:spacing w:after="0" w:line="240" w:lineRule="auto"/>
              <w:rPr>
                <w:rFonts w:ascii="Calibri" w:eastAsia="Times New Roman" w:hAnsi="Calibri" w:cs="Calibri"/>
                <w:color w:val="000000"/>
                <w:sz w:val="20"/>
                <w:szCs w:val="20"/>
              </w:rPr>
            </w:pPr>
          </w:p>
        </w:tc>
        <w:tc>
          <w:tcPr>
            <w:tcW w:w="1321" w:type="dxa"/>
            <w:vMerge/>
            <w:tcBorders>
              <w:top w:val="nil"/>
              <w:left w:val="single" w:sz="4" w:space="0" w:color="auto"/>
              <w:bottom w:val="single" w:sz="4" w:space="0" w:color="auto"/>
              <w:right w:val="single" w:sz="4" w:space="0" w:color="auto"/>
            </w:tcBorders>
            <w:vAlign w:val="center"/>
            <w:hideMark/>
          </w:tcPr>
          <w:p w:rsidR="00DB4937" w:rsidRPr="00DB4937" w:rsidRDefault="00DB4937" w:rsidP="00DB4937">
            <w:pPr>
              <w:spacing w:after="0" w:line="240" w:lineRule="auto"/>
              <w:rPr>
                <w:rFonts w:ascii="Calibri" w:eastAsia="Times New Roman" w:hAnsi="Calibri" w:cs="Calibri"/>
                <w:color w:val="000000"/>
                <w:sz w:val="20"/>
                <w:szCs w:val="20"/>
              </w:rPr>
            </w:pP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Other Expenses</w:t>
            </w:r>
          </w:p>
        </w:tc>
        <w:tc>
          <w:tcPr>
            <w:tcW w:w="1016"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0</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222.48</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345.91</w:t>
            </w:r>
          </w:p>
        </w:tc>
        <w:tc>
          <w:tcPr>
            <w:tcW w:w="1321" w:type="dxa"/>
            <w:tcBorders>
              <w:top w:val="nil"/>
              <w:left w:val="nil"/>
              <w:bottom w:val="single" w:sz="4" w:space="0" w:color="auto"/>
              <w:right w:val="single" w:sz="4" w:space="0" w:color="auto"/>
            </w:tcBorders>
            <w:shd w:val="clear" w:color="auto" w:fill="auto"/>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-345.91</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rPr>
                <w:rFonts w:ascii="Calibri" w:eastAsia="Times New Roman" w:hAnsi="Calibri" w:cs="Calibri"/>
                <w:sz w:val="20"/>
                <w:szCs w:val="20"/>
              </w:rPr>
            </w:pPr>
            <w:r w:rsidRPr="00DB4937">
              <w:rPr>
                <w:rFonts w:ascii="Calibri" w:eastAsia="Times New Roman" w:hAnsi="Calibri" w:cs="Calibri"/>
                <w:sz w:val="20"/>
                <w:szCs w:val="20"/>
              </w:rPr>
              <w:t>Interest on Additional Bond to Trust</w:t>
            </w:r>
          </w:p>
        </w:tc>
        <w:tc>
          <w:tcPr>
            <w:tcW w:w="1016"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200.00</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0</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200.00</w:t>
            </w:r>
          </w:p>
        </w:tc>
        <w:tc>
          <w:tcPr>
            <w:tcW w:w="1321" w:type="dxa"/>
            <w:tcBorders>
              <w:top w:val="nil"/>
              <w:left w:val="nil"/>
              <w:bottom w:val="single" w:sz="4" w:space="0" w:color="auto"/>
              <w:right w:val="single" w:sz="4" w:space="0" w:color="auto"/>
            </w:tcBorders>
            <w:shd w:val="clear" w:color="auto" w:fill="auto"/>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0.00</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Over achievement of loss reduction claim</w:t>
            </w:r>
          </w:p>
        </w:tc>
        <w:tc>
          <w:tcPr>
            <w:tcW w:w="1016"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 </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 </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28.59</w:t>
            </w:r>
          </w:p>
        </w:tc>
        <w:tc>
          <w:tcPr>
            <w:tcW w:w="1321" w:type="dxa"/>
            <w:tcBorders>
              <w:top w:val="nil"/>
              <w:left w:val="nil"/>
              <w:bottom w:val="single" w:sz="4" w:space="0" w:color="auto"/>
              <w:right w:val="single" w:sz="4" w:space="0" w:color="auto"/>
            </w:tcBorders>
            <w:shd w:val="clear" w:color="auto" w:fill="auto"/>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-28.59</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Incentive for transmission availability</w:t>
            </w:r>
          </w:p>
        </w:tc>
        <w:tc>
          <w:tcPr>
            <w:tcW w:w="1016"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 </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 </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8.38</w:t>
            </w:r>
          </w:p>
        </w:tc>
        <w:tc>
          <w:tcPr>
            <w:tcW w:w="1321" w:type="dxa"/>
            <w:tcBorders>
              <w:top w:val="nil"/>
              <w:left w:val="nil"/>
              <w:bottom w:val="single" w:sz="4" w:space="0" w:color="auto"/>
              <w:right w:val="single" w:sz="4" w:space="0" w:color="auto"/>
            </w:tcBorders>
            <w:shd w:val="clear" w:color="auto" w:fill="auto"/>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-8.38</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Amortization of past gap</w:t>
            </w:r>
          </w:p>
        </w:tc>
        <w:tc>
          <w:tcPr>
            <w:tcW w:w="1016"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400.00</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 </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 </w:t>
            </w:r>
          </w:p>
        </w:tc>
        <w:tc>
          <w:tcPr>
            <w:tcW w:w="1321" w:type="dxa"/>
            <w:tcBorders>
              <w:top w:val="nil"/>
              <w:left w:val="nil"/>
              <w:bottom w:val="single" w:sz="4" w:space="0" w:color="auto"/>
              <w:right w:val="single" w:sz="4" w:space="0" w:color="auto"/>
            </w:tcBorders>
            <w:shd w:val="clear" w:color="auto" w:fill="auto"/>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400.00</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both"/>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Net Expenditure (A)</w:t>
            </w:r>
          </w:p>
        </w:tc>
        <w:tc>
          <w:tcPr>
            <w:tcW w:w="1016"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right"/>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13318.83</w:t>
            </w:r>
          </w:p>
        </w:tc>
        <w:tc>
          <w:tcPr>
            <w:tcW w:w="949"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right"/>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14292.94</w:t>
            </w:r>
          </w:p>
        </w:tc>
        <w:tc>
          <w:tcPr>
            <w:tcW w:w="949" w:type="dxa"/>
            <w:tcBorders>
              <w:top w:val="nil"/>
              <w:left w:val="nil"/>
              <w:bottom w:val="single" w:sz="4" w:space="0" w:color="auto"/>
              <w:right w:val="single" w:sz="4" w:space="0" w:color="auto"/>
            </w:tcBorders>
            <w:shd w:val="clear" w:color="000000" w:fill="C6D9F1"/>
            <w:noWrap/>
            <w:vAlign w:val="bottom"/>
            <w:hideMark/>
          </w:tcPr>
          <w:p w:rsidR="00DB4937" w:rsidRPr="00DB4937" w:rsidRDefault="000A5613" w:rsidP="000A5613">
            <w:pPr>
              <w:spacing w:after="0" w:line="240" w:lineRule="auto"/>
              <w:jc w:val="right"/>
              <w:rPr>
                <w:rFonts w:ascii="Calibri" w:eastAsia="Times New Roman" w:hAnsi="Calibri" w:cs="Calibri"/>
                <w:b/>
                <w:bCs/>
                <w:color w:val="000000"/>
                <w:sz w:val="20"/>
                <w:szCs w:val="20"/>
              </w:rPr>
            </w:pPr>
            <w:r>
              <w:rPr>
                <w:rFonts w:ascii="Calibri" w:eastAsia="Times New Roman" w:hAnsi="Calibri" w:cs="Calibri"/>
                <w:b/>
                <w:bCs/>
                <w:color w:val="000000"/>
                <w:sz w:val="20"/>
                <w:szCs w:val="20"/>
              </w:rPr>
              <w:t>13806.58</w:t>
            </w:r>
          </w:p>
        </w:tc>
        <w:tc>
          <w:tcPr>
            <w:tcW w:w="1321"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0A5613">
            <w:pPr>
              <w:spacing w:after="0" w:line="240" w:lineRule="auto"/>
              <w:jc w:val="right"/>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w:t>
            </w:r>
            <w:r w:rsidR="000A5613">
              <w:rPr>
                <w:rFonts w:ascii="Calibri" w:eastAsia="Times New Roman" w:hAnsi="Calibri" w:cs="Calibri"/>
                <w:b/>
                <w:bCs/>
                <w:color w:val="000000"/>
                <w:sz w:val="20"/>
                <w:szCs w:val="20"/>
              </w:rPr>
              <w:t>487.75</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Statutory Surplus/ Roe (B)</w:t>
            </w:r>
          </w:p>
        </w:tc>
        <w:tc>
          <w:tcPr>
            <w:tcW w:w="1016"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489.86</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0</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0A5613">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489.8</w:t>
            </w:r>
            <w:r w:rsidR="000A5613">
              <w:rPr>
                <w:rFonts w:ascii="Calibri" w:eastAsia="Times New Roman" w:hAnsi="Calibri" w:cs="Calibri"/>
                <w:color w:val="000000"/>
                <w:sz w:val="20"/>
                <w:szCs w:val="20"/>
              </w:rPr>
              <w:t>7</w:t>
            </w:r>
          </w:p>
        </w:tc>
        <w:tc>
          <w:tcPr>
            <w:tcW w:w="1321" w:type="dxa"/>
            <w:tcBorders>
              <w:top w:val="nil"/>
              <w:left w:val="nil"/>
              <w:bottom w:val="single" w:sz="4" w:space="0" w:color="auto"/>
              <w:right w:val="single" w:sz="4" w:space="0" w:color="auto"/>
            </w:tcBorders>
            <w:shd w:val="clear" w:color="auto" w:fill="auto"/>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0</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both"/>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ARR (C) = (A) + ( B)</w:t>
            </w:r>
          </w:p>
        </w:tc>
        <w:tc>
          <w:tcPr>
            <w:tcW w:w="1016"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right"/>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13808.69</w:t>
            </w:r>
          </w:p>
        </w:tc>
        <w:tc>
          <w:tcPr>
            <w:tcW w:w="949"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right"/>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14292.94</w:t>
            </w:r>
          </w:p>
        </w:tc>
        <w:tc>
          <w:tcPr>
            <w:tcW w:w="949" w:type="dxa"/>
            <w:tcBorders>
              <w:top w:val="nil"/>
              <w:left w:val="nil"/>
              <w:bottom w:val="single" w:sz="4" w:space="0" w:color="auto"/>
              <w:right w:val="single" w:sz="4" w:space="0" w:color="auto"/>
            </w:tcBorders>
            <w:shd w:val="clear" w:color="000000" w:fill="C6D9F1"/>
            <w:noWrap/>
            <w:vAlign w:val="bottom"/>
            <w:hideMark/>
          </w:tcPr>
          <w:p w:rsidR="00DB4937" w:rsidRPr="00DB4937" w:rsidRDefault="000A5613" w:rsidP="00DB4937">
            <w:pPr>
              <w:spacing w:after="0" w:line="240" w:lineRule="auto"/>
              <w:jc w:val="right"/>
              <w:rPr>
                <w:rFonts w:ascii="Calibri" w:eastAsia="Times New Roman" w:hAnsi="Calibri" w:cs="Calibri"/>
                <w:b/>
                <w:bCs/>
                <w:color w:val="000000"/>
                <w:sz w:val="20"/>
                <w:szCs w:val="20"/>
              </w:rPr>
            </w:pPr>
            <w:r>
              <w:rPr>
                <w:rFonts w:ascii="Calibri" w:eastAsia="Times New Roman" w:hAnsi="Calibri" w:cs="Calibri"/>
                <w:b/>
                <w:bCs/>
                <w:color w:val="000000"/>
                <w:sz w:val="20"/>
                <w:szCs w:val="20"/>
              </w:rPr>
              <w:t>14296.45</w:t>
            </w:r>
          </w:p>
        </w:tc>
        <w:tc>
          <w:tcPr>
            <w:tcW w:w="1321"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0A5613">
            <w:pPr>
              <w:spacing w:after="0" w:line="240" w:lineRule="auto"/>
              <w:jc w:val="right"/>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w:t>
            </w:r>
            <w:r w:rsidR="000A5613">
              <w:rPr>
                <w:rFonts w:ascii="Calibri" w:eastAsia="Times New Roman" w:hAnsi="Calibri" w:cs="Calibri"/>
                <w:b/>
                <w:bCs/>
                <w:color w:val="000000"/>
                <w:sz w:val="20"/>
                <w:szCs w:val="20"/>
              </w:rPr>
              <w:t>487.75</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Non-Tariff Income</w:t>
            </w:r>
          </w:p>
        </w:tc>
        <w:tc>
          <w:tcPr>
            <w:tcW w:w="1016"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586.23</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481.73</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597.37</w:t>
            </w:r>
          </w:p>
        </w:tc>
        <w:tc>
          <w:tcPr>
            <w:tcW w:w="1321" w:type="dxa"/>
            <w:tcBorders>
              <w:top w:val="nil"/>
              <w:left w:val="nil"/>
              <w:bottom w:val="single" w:sz="4" w:space="0" w:color="auto"/>
              <w:right w:val="single" w:sz="4" w:space="0" w:color="auto"/>
            </w:tcBorders>
            <w:shd w:val="clear" w:color="auto" w:fill="auto"/>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-11.14</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both"/>
              <w:rPr>
                <w:rFonts w:ascii="Calibri" w:eastAsia="Times New Roman" w:hAnsi="Calibri" w:cs="Calibri"/>
                <w:color w:val="000000"/>
                <w:sz w:val="20"/>
                <w:szCs w:val="20"/>
              </w:rPr>
            </w:pPr>
            <w:r w:rsidRPr="00DB4937">
              <w:rPr>
                <w:rFonts w:ascii="Calibri" w:eastAsia="Times New Roman" w:hAnsi="Calibri" w:cs="Calibri"/>
                <w:color w:val="000000"/>
                <w:sz w:val="20"/>
                <w:szCs w:val="20"/>
              </w:rPr>
              <w:t>Revenue from Tariff</w:t>
            </w:r>
          </w:p>
        </w:tc>
        <w:tc>
          <w:tcPr>
            <w:tcW w:w="1016"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13190.32</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13521.21</w:t>
            </w:r>
          </w:p>
        </w:tc>
        <w:tc>
          <w:tcPr>
            <w:tcW w:w="949" w:type="dxa"/>
            <w:tcBorders>
              <w:top w:val="nil"/>
              <w:left w:val="nil"/>
              <w:bottom w:val="single" w:sz="4" w:space="0" w:color="auto"/>
              <w:right w:val="single" w:sz="4" w:space="0" w:color="auto"/>
            </w:tcBorders>
            <w:shd w:val="clear" w:color="auto" w:fill="auto"/>
            <w:noWrap/>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12939.20</w:t>
            </w:r>
          </w:p>
        </w:tc>
        <w:tc>
          <w:tcPr>
            <w:tcW w:w="1321" w:type="dxa"/>
            <w:tcBorders>
              <w:top w:val="nil"/>
              <w:left w:val="nil"/>
              <w:bottom w:val="single" w:sz="4" w:space="0" w:color="auto"/>
              <w:right w:val="single" w:sz="4" w:space="0" w:color="auto"/>
            </w:tcBorders>
            <w:shd w:val="clear" w:color="auto" w:fill="auto"/>
            <w:vAlign w:val="bottom"/>
            <w:hideMark/>
          </w:tcPr>
          <w:p w:rsidR="00DB4937" w:rsidRPr="00DB4937" w:rsidRDefault="00DB4937" w:rsidP="00DB4937">
            <w:pPr>
              <w:spacing w:after="0" w:line="240" w:lineRule="auto"/>
              <w:jc w:val="right"/>
              <w:rPr>
                <w:rFonts w:ascii="Calibri" w:eastAsia="Times New Roman" w:hAnsi="Calibri" w:cs="Calibri"/>
                <w:color w:val="000000"/>
                <w:sz w:val="20"/>
                <w:szCs w:val="20"/>
              </w:rPr>
            </w:pPr>
            <w:r w:rsidRPr="00DB4937">
              <w:rPr>
                <w:rFonts w:ascii="Calibri" w:eastAsia="Times New Roman" w:hAnsi="Calibri" w:cs="Calibri"/>
                <w:color w:val="000000"/>
                <w:sz w:val="20"/>
                <w:szCs w:val="20"/>
              </w:rPr>
              <w:t>251.12</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both"/>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Total Income (D)</w:t>
            </w:r>
          </w:p>
        </w:tc>
        <w:tc>
          <w:tcPr>
            <w:tcW w:w="1016"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right"/>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13776.55</w:t>
            </w:r>
          </w:p>
        </w:tc>
        <w:tc>
          <w:tcPr>
            <w:tcW w:w="949"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right"/>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14002.94</w:t>
            </w:r>
          </w:p>
        </w:tc>
        <w:tc>
          <w:tcPr>
            <w:tcW w:w="949"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right"/>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13536.57</w:t>
            </w:r>
          </w:p>
        </w:tc>
        <w:tc>
          <w:tcPr>
            <w:tcW w:w="1321"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right"/>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239.98</w:t>
            </w:r>
          </w:p>
        </w:tc>
      </w:tr>
      <w:tr w:rsidR="00DB4937" w:rsidRPr="00DB4937" w:rsidTr="00DB4937">
        <w:trPr>
          <w:trHeight w:val="300"/>
        </w:trPr>
        <w:tc>
          <w:tcPr>
            <w:tcW w:w="4586" w:type="dxa"/>
            <w:tcBorders>
              <w:top w:val="nil"/>
              <w:left w:val="single" w:sz="4" w:space="0" w:color="auto"/>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both"/>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Revenue surplus (Gap) (D-C)</w:t>
            </w:r>
          </w:p>
        </w:tc>
        <w:tc>
          <w:tcPr>
            <w:tcW w:w="1016"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right"/>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32.15</w:t>
            </w:r>
          </w:p>
        </w:tc>
        <w:tc>
          <w:tcPr>
            <w:tcW w:w="949"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DB4937">
            <w:pPr>
              <w:spacing w:after="0" w:line="240" w:lineRule="auto"/>
              <w:jc w:val="right"/>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290.00</w:t>
            </w:r>
          </w:p>
        </w:tc>
        <w:tc>
          <w:tcPr>
            <w:tcW w:w="949" w:type="dxa"/>
            <w:tcBorders>
              <w:top w:val="nil"/>
              <w:left w:val="nil"/>
              <w:bottom w:val="single" w:sz="4" w:space="0" w:color="auto"/>
              <w:right w:val="single" w:sz="4" w:space="0" w:color="auto"/>
            </w:tcBorders>
            <w:shd w:val="clear" w:color="000000" w:fill="C6D9F1"/>
            <w:noWrap/>
            <w:vAlign w:val="bottom"/>
            <w:hideMark/>
          </w:tcPr>
          <w:p w:rsidR="00DB4937" w:rsidRPr="00DB4937" w:rsidRDefault="000A5613" w:rsidP="00DB4937">
            <w:pPr>
              <w:spacing w:after="0" w:line="240" w:lineRule="auto"/>
              <w:jc w:val="right"/>
              <w:rPr>
                <w:rFonts w:ascii="Calibri" w:eastAsia="Times New Roman" w:hAnsi="Calibri" w:cs="Calibri"/>
                <w:b/>
                <w:bCs/>
                <w:color w:val="000000"/>
                <w:sz w:val="20"/>
                <w:szCs w:val="20"/>
              </w:rPr>
            </w:pPr>
            <w:r>
              <w:rPr>
                <w:rFonts w:ascii="Calibri" w:eastAsia="Times New Roman" w:hAnsi="Calibri" w:cs="Calibri"/>
                <w:b/>
                <w:bCs/>
                <w:color w:val="000000"/>
                <w:sz w:val="20"/>
                <w:szCs w:val="20"/>
              </w:rPr>
              <w:t>759.88</w:t>
            </w:r>
          </w:p>
        </w:tc>
        <w:tc>
          <w:tcPr>
            <w:tcW w:w="1321" w:type="dxa"/>
            <w:tcBorders>
              <w:top w:val="nil"/>
              <w:left w:val="nil"/>
              <w:bottom w:val="single" w:sz="4" w:space="0" w:color="auto"/>
              <w:right w:val="single" w:sz="4" w:space="0" w:color="auto"/>
            </w:tcBorders>
            <w:shd w:val="clear" w:color="000000" w:fill="C6D9F1"/>
            <w:noWrap/>
            <w:vAlign w:val="bottom"/>
            <w:hideMark/>
          </w:tcPr>
          <w:p w:rsidR="00DB4937" w:rsidRPr="00DB4937" w:rsidRDefault="00DB4937" w:rsidP="000A5613">
            <w:pPr>
              <w:spacing w:after="0" w:line="240" w:lineRule="auto"/>
              <w:jc w:val="right"/>
              <w:rPr>
                <w:rFonts w:ascii="Calibri" w:eastAsia="Times New Roman" w:hAnsi="Calibri" w:cs="Calibri"/>
                <w:b/>
                <w:bCs/>
                <w:color w:val="000000"/>
                <w:sz w:val="20"/>
                <w:szCs w:val="20"/>
              </w:rPr>
            </w:pPr>
            <w:r w:rsidRPr="00DB4937">
              <w:rPr>
                <w:rFonts w:ascii="Calibri" w:eastAsia="Times New Roman" w:hAnsi="Calibri" w:cs="Calibri"/>
                <w:b/>
                <w:bCs/>
                <w:color w:val="000000"/>
                <w:sz w:val="20"/>
                <w:szCs w:val="20"/>
              </w:rPr>
              <w:t>-7</w:t>
            </w:r>
            <w:r w:rsidR="000A5613">
              <w:rPr>
                <w:rFonts w:ascii="Calibri" w:eastAsia="Times New Roman" w:hAnsi="Calibri" w:cs="Calibri"/>
                <w:b/>
                <w:bCs/>
                <w:color w:val="000000"/>
                <w:sz w:val="20"/>
                <w:szCs w:val="20"/>
              </w:rPr>
              <w:t>2</w:t>
            </w:r>
            <w:r w:rsidRPr="00DB4937">
              <w:rPr>
                <w:rFonts w:ascii="Calibri" w:eastAsia="Times New Roman" w:hAnsi="Calibri" w:cs="Calibri"/>
                <w:b/>
                <w:bCs/>
                <w:color w:val="000000"/>
                <w:sz w:val="20"/>
                <w:szCs w:val="20"/>
              </w:rPr>
              <w:t>7.</w:t>
            </w:r>
            <w:r w:rsidR="000A5613">
              <w:rPr>
                <w:rFonts w:ascii="Calibri" w:eastAsia="Times New Roman" w:hAnsi="Calibri" w:cs="Calibri"/>
                <w:b/>
                <w:bCs/>
                <w:color w:val="000000"/>
                <w:sz w:val="20"/>
                <w:szCs w:val="20"/>
              </w:rPr>
              <w:t>73</w:t>
            </w:r>
          </w:p>
        </w:tc>
      </w:tr>
    </w:tbl>
    <w:p w:rsidR="00DB4937" w:rsidRDefault="00DB4937" w:rsidP="00BA4725">
      <w:pPr>
        <w:pStyle w:val="BodyText2"/>
        <w:spacing w:after="0" w:line="276" w:lineRule="auto"/>
        <w:jc w:val="both"/>
        <w:rPr>
          <w:rFonts w:cstheme="minorHAnsi"/>
        </w:rPr>
      </w:pPr>
    </w:p>
    <w:p w:rsidR="00DB4937" w:rsidRDefault="00DB4937" w:rsidP="00BA4725">
      <w:pPr>
        <w:pStyle w:val="BodyText2"/>
        <w:spacing w:after="0" w:line="276" w:lineRule="auto"/>
        <w:jc w:val="both"/>
        <w:rPr>
          <w:rFonts w:cstheme="minorHAnsi"/>
        </w:rPr>
      </w:pPr>
    </w:p>
    <w:p w:rsidR="00557C43" w:rsidRDefault="00557C43" w:rsidP="00BA4725">
      <w:pPr>
        <w:pStyle w:val="BodyText2"/>
        <w:spacing w:after="0" w:line="276" w:lineRule="auto"/>
        <w:jc w:val="both"/>
        <w:rPr>
          <w:rFonts w:cstheme="minorHAnsi"/>
        </w:rPr>
      </w:pPr>
    </w:p>
    <w:p w:rsidR="00BA4725" w:rsidRPr="00CB705A" w:rsidRDefault="00BA4725" w:rsidP="00BA4725">
      <w:pPr>
        <w:spacing w:after="0"/>
        <w:jc w:val="both"/>
        <w:rPr>
          <w:rFonts w:cstheme="minorHAnsi"/>
        </w:rPr>
      </w:pPr>
      <w:r w:rsidRPr="00CB705A">
        <w:rPr>
          <w:rFonts w:cstheme="minorHAnsi"/>
        </w:rPr>
        <w:t xml:space="preserve">The </w:t>
      </w:r>
      <w:r w:rsidRPr="006A7A74">
        <w:rPr>
          <w:rFonts w:cstheme="minorHAnsi"/>
        </w:rPr>
        <w:t xml:space="preserve">Statutory Auditors have audited </w:t>
      </w:r>
      <w:r w:rsidR="006A7A74" w:rsidRPr="006A7A74">
        <w:rPr>
          <w:rFonts w:cstheme="minorHAnsi"/>
        </w:rPr>
        <w:t xml:space="preserve">and certified </w:t>
      </w:r>
      <w:r w:rsidRPr="006A7A74">
        <w:rPr>
          <w:rFonts w:cstheme="minorHAnsi"/>
        </w:rPr>
        <w:t>the accounts</w:t>
      </w:r>
      <w:r w:rsidRPr="00CB705A">
        <w:rPr>
          <w:rFonts w:cstheme="minorHAnsi"/>
        </w:rPr>
        <w:t xml:space="preserve"> for the year 201</w:t>
      </w:r>
      <w:r w:rsidR="000030E9">
        <w:rPr>
          <w:rFonts w:cstheme="minorHAnsi"/>
        </w:rPr>
        <w:t>8</w:t>
      </w:r>
      <w:r w:rsidRPr="00CB705A">
        <w:rPr>
          <w:rFonts w:cstheme="minorHAnsi"/>
        </w:rPr>
        <w:t>-1</w:t>
      </w:r>
      <w:r w:rsidR="000030E9">
        <w:rPr>
          <w:rFonts w:cstheme="minorHAnsi"/>
        </w:rPr>
        <w:t>9</w:t>
      </w:r>
      <w:r w:rsidRPr="00CB705A">
        <w:rPr>
          <w:rFonts w:cstheme="minorHAnsi"/>
        </w:rPr>
        <w:t xml:space="preserve">. This truing up petition is prepared on the basis of the audited accounts. The petitioner is furnishing the details of accounts as per formats given in the Tariff regulation. However, should the Hon Commission requires any further details or information; the petitioner will be furnishing them as and when required. </w:t>
      </w:r>
    </w:p>
    <w:p w:rsidR="00BA4725" w:rsidRDefault="00BA4725" w:rsidP="00BA4725">
      <w:pPr>
        <w:pStyle w:val="BodyText"/>
        <w:spacing w:after="0"/>
        <w:rPr>
          <w:rFonts w:cstheme="minorHAnsi"/>
          <w:b/>
        </w:rPr>
      </w:pPr>
      <w:r w:rsidRPr="00CB705A">
        <w:rPr>
          <w:rFonts w:cstheme="minorHAnsi"/>
          <w:b/>
        </w:rPr>
        <w:t xml:space="preserve"> </w:t>
      </w:r>
    </w:p>
    <w:p w:rsidR="00BA4725" w:rsidRPr="00CB705A" w:rsidRDefault="00BA4725" w:rsidP="00BA4725">
      <w:pPr>
        <w:rPr>
          <w:rFonts w:cstheme="minorHAnsi"/>
          <w:b/>
        </w:rPr>
      </w:pPr>
      <w:r w:rsidRPr="00CB705A">
        <w:rPr>
          <w:rFonts w:cstheme="minorHAnsi"/>
          <w:b/>
        </w:rPr>
        <w:tab/>
      </w:r>
      <w:r w:rsidRPr="00CB705A">
        <w:rPr>
          <w:rFonts w:cstheme="minorHAnsi"/>
          <w:b/>
        </w:rPr>
        <w:tab/>
      </w:r>
      <w:r w:rsidRPr="00CB705A">
        <w:rPr>
          <w:rFonts w:cstheme="minorHAnsi"/>
          <w:b/>
        </w:rPr>
        <w:tab/>
      </w:r>
      <w:r w:rsidRPr="00CB705A">
        <w:rPr>
          <w:rFonts w:cstheme="minorHAnsi"/>
          <w:b/>
        </w:rPr>
        <w:tab/>
      </w:r>
      <w:r w:rsidRPr="00CB705A">
        <w:rPr>
          <w:rFonts w:cstheme="minorHAnsi"/>
          <w:b/>
        </w:rPr>
        <w:tab/>
      </w:r>
      <w:r w:rsidR="00F541E5">
        <w:rPr>
          <w:rFonts w:cstheme="minorHAnsi"/>
          <w:b/>
        </w:rPr>
        <w:t xml:space="preserve">                </w:t>
      </w:r>
      <w:r>
        <w:rPr>
          <w:rFonts w:cstheme="minorHAnsi"/>
          <w:b/>
        </w:rPr>
        <w:t>--------------</w:t>
      </w:r>
    </w:p>
    <w:p w:rsidR="00BA4725" w:rsidRDefault="00BA4725" w:rsidP="00BA4725">
      <w:pPr>
        <w:rPr>
          <w:b/>
          <w:bCs/>
          <w:i/>
          <w:sz w:val="18"/>
        </w:rPr>
      </w:pPr>
    </w:p>
    <w:p w:rsidR="00B1328F" w:rsidRDefault="00B1328F"/>
    <w:sectPr w:rsidR="00B1328F" w:rsidSect="00E66096">
      <w:pgSz w:w="12240" w:h="15840"/>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F5E4B"/>
    <w:multiLevelType w:val="hybridMultilevel"/>
    <w:tmpl w:val="97341588"/>
    <w:lvl w:ilvl="0" w:tplc="329CF91A">
      <w:start w:val="1"/>
      <w:numFmt w:val="lowerRoman"/>
      <w:lvlText w:val="(%1)"/>
      <w:lvlJc w:val="left"/>
      <w:pPr>
        <w:tabs>
          <w:tab w:val="num" w:pos="1440"/>
        </w:tabs>
        <w:ind w:left="1440" w:hanging="720"/>
      </w:pPr>
      <w:rPr>
        <w:rFonts w:hint="default"/>
      </w:rPr>
    </w:lvl>
    <w:lvl w:ilvl="1" w:tplc="FD4CD514">
      <w:start w:val="8"/>
      <w:numFmt w:val="decimal"/>
      <w:lvlText w:val="%2."/>
      <w:lvlJc w:val="left"/>
      <w:pPr>
        <w:tabs>
          <w:tab w:val="num" w:pos="720"/>
        </w:tabs>
        <w:ind w:left="720" w:hanging="720"/>
      </w:pPr>
      <w:rPr>
        <w:rFonts w:cs="Arial" w:hint="default"/>
        <w:b/>
        <w:color w:val="000000"/>
        <w:u w:val="single"/>
      </w:rPr>
    </w:lvl>
    <w:lvl w:ilvl="2" w:tplc="3E80210C">
      <w:start w:val="1"/>
      <w:numFmt w:val="decimal"/>
      <w:lvlText w:val="(%3)"/>
      <w:lvlJc w:val="left"/>
      <w:pPr>
        <w:tabs>
          <w:tab w:val="num" w:pos="1440"/>
        </w:tabs>
        <w:ind w:left="1440" w:hanging="720"/>
      </w:pPr>
      <w:rPr>
        <w:rFonts w:hint="default"/>
      </w:rPr>
    </w:lvl>
    <w:lvl w:ilvl="3" w:tplc="0409000F" w:tentative="1">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A4725"/>
    <w:rsid w:val="000030E9"/>
    <w:rsid w:val="000A5613"/>
    <w:rsid w:val="000D7E11"/>
    <w:rsid w:val="000F7F62"/>
    <w:rsid w:val="00261855"/>
    <w:rsid w:val="00442382"/>
    <w:rsid w:val="00454282"/>
    <w:rsid w:val="004A1154"/>
    <w:rsid w:val="00557C43"/>
    <w:rsid w:val="00563BED"/>
    <w:rsid w:val="005B2682"/>
    <w:rsid w:val="006215A7"/>
    <w:rsid w:val="006A087B"/>
    <w:rsid w:val="006A7A74"/>
    <w:rsid w:val="006C2102"/>
    <w:rsid w:val="00785CCF"/>
    <w:rsid w:val="007A5B16"/>
    <w:rsid w:val="007A6C7E"/>
    <w:rsid w:val="00835D02"/>
    <w:rsid w:val="00890E60"/>
    <w:rsid w:val="00AD3C8C"/>
    <w:rsid w:val="00B1328F"/>
    <w:rsid w:val="00B41152"/>
    <w:rsid w:val="00B6650F"/>
    <w:rsid w:val="00BA4725"/>
    <w:rsid w:val="00C9474A"/>
    <w:rsid w:val="00C95A9D"/>
    <w:rsid w:val="00D858EE"/>
    <w:rsid w:val="00DB4937"/>
    <w:rsid w:val="00F541E5"/>
    <w:rsid w:val="00FA51B5"/>
    <w:rsid w:val="00FE20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2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4725"/>
    <w:pPr>
      <w:ind w:left="720"/>
      <w:contextualSpacing/>
    </w:pPr>
    <w:rPr>
      <w:lang w:val="en-IN" w:eastAsia="en-IN"/>
    </w:rPr>
  </w:style>
  <w:style w:type="paragraph" w:styleId="BodyText">
    <w:name w:val="Body Text"/>
    <w:aliases w:val="Body,OC Body Text,heading3"/>
    <w:basedOn w:val="Normal"/>
    <w:link w:val="BodyTextChar"/>
    <w:uiPriority w:val="99"/>
    <w:unhideWhenUsed/>
    <w:rsid w:val="00BA4725"/>
    <w:pPr>
      <w:spacing w:after="120"/>
    </w:pPr>
    <w:rPr>
      <w:lang w:val="en-IN" w:eastAsia="en-IN"/>
    </w:rPr>
  </w:style>
  <w:style w:type="character" w:customStyle="1" w:styleId="BodyTextChar">
    <w:name w:val="Body Text Char"/>
    <w:aliases w:val="Body Char,OC Body Text Char,heading3 Char"/>
    <w:basedOn w:val="DefaultParagraphFont"/>
    <w:link w:val="BodyText"/>
    <w:uiPriority w:val="99"/>
    <w:rsid w:val="00BA4725"/>
    <w:rPr>
      <w:lang w:val="en-IN" w:eastAsia="en-IN"/>
    </w:rPr>
  </w:style>
  <w:style w:type="paragraph" w:styleId="BodyText2">
    <w:name w:val="Body Text 2"/>
    <w:basedOn w:val="Normal"/>
    <w:link w:val="BodyText2Char"/>
    <w:unhideWhenUsed/>
    <w:rsid w:val="00BA4725"/>
    <w:pPr>
      <w:spacing w:after="120" w:line="480" w:lineRule="auto"/>
    </w:pPr>
    <w:rPr>
      <w:lang w:val="en-IN" w:eastAsia="en-IN"/>
    </w:rPr>
  </w:style>
  <w:style w:type="character" w:customStyle="1" w:styleId="BodyText2Char">
    <w:name w:val="Body Text 2 Char"/>
    <w:basedOn w:val="DefaultParagraphFont"/>
    <w:link w:val="BodyText2"/>
    <w:rsid w:val="00BA4725"/>
    <w:rPr>
      <w:lang w:val="en-IN" w:eastAsia="en-IN"/>
    </w:rPr>
  </w:style>
</w:styles>
</file>

<file path=word/webSettings.xml><?xml version="1.0" encoding="utf-8"?>
<w:webSettings xmlns:r="http://schemas.openxmlformats.org/officeDocument/2006/relationships" xmlns:w="http://schemas.openxmlformats.org/wordprocessingml/2006/main">
  <w:divs>
    <w:div w:id="182329417">
      <w:bodyDiv w:val="1"/>
      <w:marLeft w:val="0"/>
      <w:marRight w:val="0"/>
      <w:marTop w:val="0"/>
      <w:marBottom w:val="0"/>
      <w:divBdr>
        <w:top w:val="none" w:sz="0" w:space="0" w:color="auto"/>
        <w:left w:val="none" w:sz="0" w:space="0" w:color="auto"/>
        <w:bottom w:val="none" w:sz="0" w:space="0" w:color="auto"/>
        <w:right w:val="none" w:sz="0" w:space="0" w:color="auto"/>
      </w:divBdr>
    </w:div>
    <w:div w:id="184026078">
      <w:bodyDiv w:val="1"/>
      <w:marLeft w:val="0"/>
      <w:marRight w:val="0"/>
      <w:marTop w:val="0"/>
      <w:marBottom w:val="0"/>
      <w:divBdr>
        <w:top w:val="none" w:sz="0" w:space="0" w:color="auto"/>
        <w:left w:val="none" w:sz="0" w:space="0" w:color="auto"/>
        <w:bottom w:val="none" w:sz="0" w:space="0" w:color="auto"/>
        <w:right w:val="none" w:sz="0" w:space="0" w:color="auto"/>
      </w:divBdr>
    </w:div>
    <w:div w:id="342440519">
      <w:bodyDiv w:val="1"/>
      <w:marLeft w:val="0"/>
      <w:marRight w:val="0"/>
      <w:marTop w:val="0"/>
      <w:marBottom w:val="0"/>
      <w:divBdr>
        <w:top w:val="none" w:sz="0" w:space="0" w:color="auto"/>
        <w:left w:val="none" w:sz="0" w:space="0" w:color="auto"/>
        <w:bottom w:val="none" w:sz="0" w:space="0" w:color="auto"/>
        <w:right w:val="none" w:sz="0" w:space="0" w:color="auto"/>
      </w:divBdr>
    </w:div>
    <w:div w:id="542207415">
      <w:bodyDiv w:val="1"/>
      <w:marLeft w:val="0"/>
      <w:marRight w:val="0"/>
      <w:marTop w:val="0"/>
      <w:marBottom w:val="0"/>
      <w:divBdr>
        <w:top w:val="none" w:sz="0" w:space="0" w:color="auto"/>
        <w:left w:val="none" w:sz="0" w:space="0" w:color="auto"/>
        <w:bottom w:val="none" w:sz="0" w:space="0" w:color="auto"/>
        <w:right w:val="none" w:sz="0" w:space="0" w:color="auto"/>
      </w:divBdr>
    </w:div>
    <w:div w:id="660083657">
      <w:bodyDiv w:val="1"/>
      <w:marLeft w:val="0"/>
      <w:marRight w:val="0"/>
      <w:marTop w:val="0"/>
      <w:marBottom w:val="0"/>
      <w:divBdr>
        <w:top w:val="none" w:sz="0" w:space="0" w:color="auto"/>
        <w:left w:val="none" w:sz="0" w:space="0" w:color="auto"/>
        <w:bottom w:val="none" w:sz="0" w:space="0" w:color="auto"/>
        <w:right w:val="none" w:sz="0" w:space="0" w:color="auto"/>
      </w:divBdr>
    </w:div>
    <w:div w:id="726419127">
      <w:bodyDiv w:val="1"/>
      <w:marLeft w:val="0"/>
      <w:marRight w:val="0"/>
      <w:marTop w:val="0"/>
      <w:marBottom w:val="0"/>
      <w:divBdr>
        <w:top w:val="none" w:sz="0" w:space="0" w:color="auto"/>
        <w:left w:val="none" w:sz="0" w:space="0" w:color="auto"/>
        <w:bottom w:val="none" w:sz="0" w:space="0" w:color="auto"/>
        <w:right w:val="none" w:sz="0" w:space="0" w:color="auto"/>
      </w:divBdr>
    </w:div>
    <w:div w:id="936213377">
      <w:bodyDiv w:val="1"/>
      <w:marLeft w:val="0"/>
      <w:marRight w:val="0"/>
      <w:marTop w:val="0"/>
      <w:marBottom w:val="0"/>
      <w:divBdr>
        <w:top w:val="none" w:sz="0" w:space="0" w:color="auto"/>
        <w:left w:val="none" w:sz="0" w:space="0" w:color="auto"/>
        <w:bottom w:val="none" w:sz="0" w:space="0" w:color="auto"/>
        <w:right w:val="none" w:sz="0" w:space="0" w:color="auto"/>
      </w:divBdr>
    </w:div>
    <w:div w:id="963734710">
      <w:bodyDiv w:val="1"/>
      <w:marLeft w:val="0"/>
      <w:marRight w:val="0"/>
      <w:marTop w:val="0"/>
      <w:marBottom w:val="0"/>
      <w:divBdr>
        <w:top w:val="none" w:sz="0" w:space="0" w:color="auto"/>
        <w:left w:val="none" w:sz="0" w:space="0" w:color="auto"/>
        <w:bottom w:val="none" w:sz="0" w:space="0" w:color="auto"/>
        <w:right w:val="none" w:sz="0" w:space="0" w:color="auto"/>
      </w:divBdr>
    </w:div>
    <w:div w:id="1061751375">
      <w:bodyDiv w:val="1"/>
      <w:marLeft w:val="0"/>
      <w:marRight w:val="0"/>
      <w:marTop w:val="0"/>
      <w:marBottom w:val="0"/>
      <w:divBdr>
        <w:top w:val="none" w:sz="0" w:space="0" w:color="auto"/>
        <w:left w:val="none" w:sz="0" w:space="0" w:color="auto"/>
        <w:bottom w:val="none" w:sz="0" w:space="0" w:color="auto"/>
        <w:right w:val="none" w:sz="0" w:space="0" w:color="auto"/>
      </w:divBdr>
    </w:div>
    <w:div w:id="1395858482">
      <w:bodyDiv w:val="1"/>
      <w:marLeft w:val="0"/>
      <w:marRight w:val="0"/>
      <w:marTop w:val="0"/>
      <w:marBottom w:val="0"/>
      <w:divBdr>
        <w:top w:val="none" w:sz="0" w:space="0" w:color="auto"/>
        <w:left w:val="none" w:sz="0" w:space="0" w:color="auto"/>
        <w:bottom w:val="none" w:sz="0" w:space="0" w:color="auto"/>
        <w:right w:val="none" w:sz="0" w:space="0" w:color="auto"/>
      </w:divBdr>
    </w:div>
    <w:div w:id="1973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257</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2019-12-05T11:29:00Z</cp:lastPrinted>
  <dcterms:created xsi:type="dcterms:W3CDTF">2019-11-11T07:41:00Z</dcterms:created>
  <dcterms:modified xsi:type="dcterms:W3CDTF">2020-02-29T07:06:00Z</dcterms:modified>
</cp:coreProperties>
</file>